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4A" w:rsidRPr="00A66F4A" w:rsidRDefault="00762D10" w:rsidP="00762D10">
      <w:pPr>
        <w:spacing w:before="100" w:beforeAutospacing="1" w:after="100" w:afterAutospacing="1" w:line="240" w:lineRule="auto"/>
        <w:rPr>
          <w:rFonts w:ascii="Times New Roman" w:eastAsia="Times New Roman" w:hAnsi="Times New Roman" w:cs="Times New Roman"/>
          <w:b/>
          <w:bCs/>
          <w:color w:val="00376D"/>
          <w:sz w:val="32"/>
          <w:szCs w:val="30"/>
        </w:rPr>
      </w:pPr>
      <w:r w:rsidRPr="00762D10">
        <w:rPr>
          <w:rFonts w:ascii="Times New Roman" w:eastAsia="Times New Roman" w:hAnsi="Times New Roman" w:cs="Times New Roman"/>
          <w:b/>
          <w:bCs/>
          <w:noProof/>
          <w:color w:val="00376D"/>
          <w:sz w:val="32"/>
          <w:szCs w:val="30"/>
        </w:rPr>
        <w:drawing>
          <wp:anchor distT="0" distB="0" distL="114300" distR="114300" simplePos="0" relativeHeight="251660288" behindDoc="0" locked="0" layoutInCell="1" allowOverlap="1">
            <wp:simplePos x="0" y="0"/>
            <wp:positionH relativeFrom="column">
              <wp:posOffset>3092268</wp:posOffset>
            </wp:positionH>
            <wp:positionV relativeFrom="paragraph">
              <wp:posOffset>74930</wp:posOffset>
            </wp:positionV>
            <wp:extent cx="1437640" cy="539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fd19faf-e30c-4871-a959-f72e1d9c1152.jpg"/>
                    <pic:cNvPicPr/>
                  </pic:nvPicPr>
                  <pic:blipFill>
                    <a:blip r:embed="rId5">
                      <a:extLst>
                        <a:ext uri="{28A0092B-C50C-407E-A947-70E740481C1C}">
                          <a14:useLocalDpi xmlns:a14="http://schemas.microsoft.com/office/drawing/2010/main" val="0"/>
                        </a:ext>
                      </a:extLst>
                    </a:blip>
                    <a:stretch>
                      <a:fillRect/>
                    </a:stretch>
                  </pic:blipFill>
                  <pic:spPr>
                    <a:xfrm>
                      <a:off x="0" y="0"/>
                      <a:ext cx="1437640" cy="539115"/>
                    </a:xfrm>
                    <a:prstGeom prst="rect">
                      <a:avLst/>
                    </a:prstGeom>
                  </pic:spPr>
                </pic:pic>
              </a:graphicData>
            </a:graphic>
            <wp14:sizeRelH relativeFrom="page">
              <wp14:pctWidth>0</wp14:pctWidth>
            </wp14:sizeRelH>
            <wp14:sizeRelV relativeFrom="page">
              <wp14:pctHeight>0</wp14:pctHeight>
            </wp14:sizeRelV>
          </wp:anchor>
        </w:drawing>
      </w:r>
      <w:r w:rsidRPr="00762D10">
        <w:rPr>
          <w:rFonts w:ascii="Times New Roman" w:eastAsia="Times New Roman" w:hAnsi="Times New Roman" w:cs="Times New Roman"/>
          <w:b/>
          <w:bCs/>
          <w:noProof/>
          <w:color w:val="00376D"/>
          <w:sz w:val="32"/>
          <w:szCs w:val="30"/>
        </w:rPr>
        <w:drawing>
          <wp:anchor distT="0" distB="0" distL="114300" distR="114300" simplePos="0" relativeHeight="251658240" behindDoc="0" locked="0" layoutInCell="1" allowOverlap="1">
            <wp:simplePos x="0" y="0"/>
            <wp:positionH relativeFrom="column">
              <wp:posOffset>4672915</wp:posOffset>
            </wp:positionH>
            <wp:positionV relativeFrom="paragraph">
              <wp:posOffset>503</wp:posOffset>
            </wp:positionV>
            <wp:extent cx="8001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db666c-68a4-418f-9c47-ccdbda4f58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762D10">
        <w:rPr>
          <w:rFonts w:ascii="Times New Roman" w:eastAsia="Times New Roman" w:hAnsi="Times New Roman" w:cs="Times New Roman"/>
          <w:b/>
          <w:bCs/>
          <w:noProof/>
          <w:color w:val="00376D"/>
          <w:sz w:val="32"/>
          <w:szCs w:val="30"/>
        </w:rPr>
        <w:drawing>
          <wp:anchor distT="0" distB="0" distL="114300" distR="114300" simplePos="0" relativeHeight="251659264" behindDoc="0" locked="0" layoutInCell="1" allowOverlap="1">
            <wp:simplePos x="0" y="0"/>
            <wp:positionH relativeFrom="column">
              <wp:posOffset>5622108</wp:posOffset>
            </wp:positionH>
            <wp:positionV relativeFrom="paragraph">
              <wp:posOffset>0</wp:posOffset>
            </wp:positionV>
            <wp:extent cx="1104265" cy="6096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252a19-bdb9-4526-b5d3-bb87fb1d79b0.jpg"/>
                    <pic:cNvPicPr/>
                  </pic:nvPicPr>
                  <pic:blipFill>
                    <a:blip r:embed="rId7">
                      <a:extLst>
                        <a:ext uri="{28A0092B-C50C-407E-A947-70E740481C1C}">
                          <a14:useLocalDpi xmlns:a14="http://schemas.microsoft.com/office/drawing/2010/main" val="0"/>
                        </a:ext>
                      </a:extLst>
                    </a:blip>
                    <a:stretch>
                      <a:fillRect/>
                    </a:stretch>
                  </pic:blipFill>
                  <pic:spPr>
                    <a:xfrm>
                      <a:off x="0" y="0"/>
                      <a:ext cx="1104265" cy="609600"/>
                    </a:xfrm>
                    <a:prstGeom prst="rect">
                      <a:avLst/>
                    </a:prstGeom>
                  </pic:spPr>
                </pic:pic>
              </a:graphicData>
            </a:graphic>
            <wp14:sizeRelH relativeFrom="page">
              <wp14:pctWidth>0</wp14:pctWidth>
            </wp14:sizeRelH>
            <wp14:sizeRelV relativeFrom="page">
              <wp14:pctHeight>0</wp14:pctHeight>
            </wp14:sizeRelV>
          </wp:anchor>
        </w:drawing>
      </w:r>
      <w:r w:rsidR="00A66F4A" w:rsidRPr="00A66F4A">
        <w:rPr>
          <w:rFonts w:ascii="Arial" w:eastAsia="Times New Roman" w:hAnsi="Arial" w:cs="Arial"/>
          <w:b/>
          <w:bCs/>
          <w:color w:val="00376D"/>
          <w:sz w:val="32"/>
          <w:szCs w:val="32"/>
        </w:rPr>
        <w:t>All Hazards Em</w:t>
      </w:r>
      <w:r w:rsidR="00A66F4A" w:rsidRPr="00762D10">
        <w:rPr>
          <w:rFonts w:ascii="Arial" w:eastAsia="Times New Roman" w:hAnsi="Arial" w:cs="Arial"/>
          <w:b/>
          <w:bCs/>
          <w:color w:val="00376D"/>
          <w:sz w:val="32"/>
          <w:szCs w:val="30"/>
        </w:rPr>
        <w:t xml:space="preserve">ergency Preparedness &amp; Response </w:t>
      </w:r>
      <w:r w:rsidR="00A66F4A" w:rsidRPr="00A66F4A">
        <w:rPr>
          <w:rFonts w:ascii="Arial" w:eastAsia="Times New Roman" w:hAnsi="Arial" w:cs="Arial"/>
          <w:b/>
          <w:bCs/>
          <w:color w:val="00376D"/>
          <w:sz w:val="32"/>
          <w:szCs w:val="32"/>
        </w:rPr>
        <w:t>Workforce Development Program</w:t>
      </w:r>
    </w:p>
    <w:p w:rsidR="00A66F4A" w:rsidRPr="00A66F4A" w:rsidRDefault="00A66F4A" w:rsidP="00A66F4A">
      <w:pPr>
        <w:spacing w:before="100" w:beforeAutospacing="1" w:after="100" w:afterAutospacing="1" w:line="240" w:lineRule="auto"/>
        <w:rPr>
          <w:rFonts w:ascii="Arial" w:eastAsia="Times New Roman" w:hAnsi="Arial" w:cs="Arial"/>
          <w:szCs w:val="24"/>
        </w:rPr>
      </w:pPr>
      <w:r w:rsidRPr="001A41BE">
        <w:rPr>
          <w:rFonts w:ascii="Arial" w:eastAsia="Times New Roman" w:hAnsi="Arial" w:cs="Arial"/>
          <w:b/>
          <w:bCs/>
          <w:color w:val="000000"/>
          <w:sz w:val="28"/>
          <w:szCs w:val="30"/>
        </w:rPr>
        <w:t xml:space="preserve">Course Overview: </w:t>
      </w:r>
      <w:r w:rsidRPr="008C5A27">
        <w:rPr>
          <w:rFonts w:ascii="Arial" w:eastAsia="Times New Roman" w:hAnsi="Arial" w:cs="Arial"/>
          <w:b/>
          <w:bCs/>
          <w:color w:val="000000"/>
          <w:sz w:val="30"/>
          <w:szCs w:val="30"/>
        </w:rPr>
        <w:br/>
      </w:r>
      <w:r w:rsidRPr="00A66F4A">
        <w:rPr>
          <w:rFonts w:ascii="Arial" w:eastAsia="Times New Roman" w:hAnsi="Arial" w:cs="Arial"/>
          <w:color w:val="000000"/>
          <w:sz w:val="24"/>
          <w:szCs w:val="26"/>
        </w:rPr>
        <w:t xml:space="preserve">Organizations involved in responding to and managing incidents vary in their authorities, management structures, and communication capabilities and protocols. These courses are part of a professional development program that includes training opportunities assigned by management, or supervisors based on roles in an emergency response. </w:t>
      </w:r>
    </w:p>
    <w:p w:rsidR="00A66F4A" w:rsidRPr="00A66F4A" w:rsidRDefault="00A66F4A" w:rsidP="00A66F4A">
      <w:pPr>
        <w:spacing w:before="100" w:beforeAutospacing="1" w:after="100" w:afterAutospacing="1" w:line="240" w:lineRule="auto"/>
        <w:rPr>
          <w:rFonts w:ascii="Arial" w:eastAsia="Times New Roman" w:hAnsi="Arial" w:cs="Arial"/>
          <w:sz w:val="20"/>
          <w:szCs w:val="24"/>
        </w:rPr>
      </w:pPr>
      <w:r w:rsidRPr="00A66F4A">
        <w:rPr>
          <w:rFonts w:ascii="Arial" w:eastAsia="Times New Roman" w:hAnsi="Arial" w:cs="Arial"/>
          <w:b/>
          <w:bCs/>
          <w:color w:val="000000"/>
          <w:sz w:val="28"/>
          <w:szCs w:val="32"/>
        </w:rPr>
        <w:t>Objectives</w:t>
      </w:r>
      <w:r w:rsidR="001A41BE">
        <w:rPr>
          <w:rFonts w:ascii="Arial" w:eastAsia="Times New Roman" w:hAnsi="Arial" w:cs="Arial"/>
          <w:b/>
          <w:bCs/>
          <w:color w:val="000000"/>
          <w:sz w:val="28"/>
          <w:szCs w:val="32"/>
        </w:rPr>
        <w:t>:</w:t>
      </w:r>
    </w:p>
    <w:p w:rsidR="00A66F4A" w:rsidRPr="00A66F4A" w:rsidRDefault="00A66F4A" w:rsidP="00A66F4A">
      <w:pPr>
        <w:numPr>
          <w:ilvl w:val="0"/>
          <w:numId w:val="1"/>
        </w:numPr>
        <w:spacing w:before="100" w:beforeAutospacing="1" w:after="100" w:afterAutospacing="1" w:line="240" w:lineRule="auto"/>
        <w:rPr>
          <w:rFonts w:ascii="Arial" w:eastAsia="Times New Roman" w:hAnsi="Arial" w:cs="Arial"/>
          <w:szCs w:val="24"/>
        </w:rPr>
      </w:pPr>
      <w:r w:rsidRPr="00A66F4A">
        <w:rPr>
          <w:rFonts w:ascii="Arial" w:eastAsia="Times New Roman" w:hAnsi="Arial" w:cs="Arial"/>
          <w:color w:val="000000"/>
          <w:szCs w:val="24"/>
        </w:rPr>
        <w:t>Address community recovery and resilience needs to respond effectively to the COVID-19 pandemic and other biologic threats.</w:t>
      </w:r>
    </w:p>
    <w:p w:rsidR="00A66F4A" w:rsidRPr="00A66F4A" w:rsidRDefault="00A66F4A" w:rsidP="00A66F4A">
      <w:pPr>
        <w:numPr>
          <w:ilvl w:val="0"/>
          <w:numId w:val="1"/>
        </w:numPr>
        <w:spacing w:before="100" w:beforeAutospacing="1" w:after="100" w:afterAutospacing="1" w:line="240" w:lineRule="auto"/>
        <w:rPr>
          <w:rFonts w:ascii="Arial" w:eastAsia="Times New Roman" w:hAnsi="Arial" w:cs="Arial"/>
          <w:szCs w:val="24"/>
        </w:rPr>
      </w:pPr>
      <w:r w:rsidRPr="00A66F4A">
        <w:rPr>
          <w:rFonts w:ascii="Arial" w:eastAsia="Times New Roman" w:hAnsi="Arial" w:cs="Arial"/>
          <w:color w:val="000000"/>
          <w:szCs w:val="24"/>
        </w:rPr>
        <w:t xml:space="preserve">Provide incident management training for new and existing staff in Incident Command Structure from a public health perspective including integration with emergency management roles to prepare for potential deployment. </w:t>
      </w:r>
    </w:p>
    <w:p w:rsidR="00A66F4A" w:rsidRPr="00A66F4A" w:rsidRDefault="00A66F4A" w:rsidP="00A66F4A">
      <w:pPr>
        <w:numPr>
          <w:ilvl w:val="0"/>
          <w:numId w:val="1"/>
        </w:numPr>
        <w:spacing w:before="100" w:beforeAutospacing="1" w:after="100" w:afterAutospacing="1" w:line="240" w:lineRule="auto"/>
        <w:rPr>
          <w:rFonts w:ascii="Arial" w:eastAsia="Times New Roman" w:hAnsi="Arial" w:cs="Arial"/>
          <w:szCs w:val="24"/>
        </w:rPr>
      </w:pPr>
      <w:r w:rsidRPr="00A66F4A">
        <w:rPr>
          <w:rFonts w:ascii="Arial" w:eastAsia="Times New Roman" w:hAnsi="Arial" w:cs="Arial"/>
          <w:color w:val="333333"/>
          <w:szCs w:val="24"/>
        </w:rPr>
        <w:t>Equip participants with the skills needed to be full or part-time PIOs, including oral and written communications; understanding and working with the media; and basic tools and techniques to perform effectively as a PIO, both in the proactive/ advocacy times and crisis/ emergency response.</w:t>
      </w:r>
    </w:p>
    <w:p w:rsidR="008C5A27" w:rsidRPr="00A66F4A" w:rsidRDefault="00A66F4A" w:rsidP="00A66F4A">
      <w:pPr>
        <w:spacing w:before="100" w:beforeAutospacing="1" w:after="100" w:afterAutospacing="1" w:line="240" w:lineRule="auto"/>
        <w:rPr>
          <w:rFonts w:ascii="Arial" w:eastAsia="Times New Roman" w:hAnsi="Arial" w:cs="Arial"/>
          <w:szCs w:val="24"/>
        </w:rPr>
      </w:pPr>
      <w:r w:rsidRPr="00A66F4A">
        <w:rPr>
          <w:rFonts w:ascii="Arial" w:eastAsia="Times New Roman" w:hAnsi="Arial" w:cs="Arial"/>
          <w:b/>
          <w:bCs/>
          <w:color w:val="000000"/>
          <w:sz w:val="28"/>
          <w:szCs w:val="32"/>
        </w:rPr>
        <w:t>Benefits:</w:t>
      </w:r>
      <w:r w:rsidRPr="001A41BE">
        <w:rPr>
          <w:rFonts w:ascii="Tahoma" w:eastAsia="Times New Roman" w:hAnsi="Tahoma" w:cs="Tahoma"/>
          <w:b/>
          <w:bCs/>
          <w:color w:val="000000"/>
          <w:sz w:val="28"/>
          <w:szCs w:val="30"/>
        </w:rPr>
        <w:t xml:space="preserve"> </w:t>
      </w:r>
      <w:r w:rsidRPr="008C5A27">
        <w:rPr>
          <w:rFonts w:ascii="Tahoma" w:eastAsia="Times New Roman" w:hAnsi="Tahoma" w:cs="Tahoma"/>
          <w:b/>
          <w:bCs/>
          <w:color w:val="000000"/>
          <w:sz w:val="30"/>
          <w:szCs w:val="30"/>
        </w:rPr>
        <w:br/>
      </w:r>
      <w:r w:rsidRPr="00A66F4A">
        <w:rPr>
          <w:rFonts w:ascii="Arial" w:eastAsia="Times New Roman" w:hAnsi="Arial" w:cs="Arial"/>
          <w:color w:val="000000"/>
          <w:szCs w:val="24"/>
        </w:rPr>
        <w:t>Staff will have the knowledge, experience, training, and capability to perform the duties of their assigned ICS roles leading up to, during, and after an emergency or disaster based on criteria that are standard nationwide (NIMS).</w:t>
      </w:r>
      <w:r w:rsidRPr="008C5A27">
        <w:rPr>
          <w:rFonts w:ascii="Arial" w:eastAsia="Times New Roman" w:hAnsi="Arial" w:cs="Arial"/>
          <w:color w:val="000000"/>
        </w:rPr>
        <w:br/>
      </w:r>
      <w:r w:rsidR="008C5A27">
        <w:rPr>
          <w:rFonts w:ascii="Arial" w:eastAsia="Times New Roman" w:hAnsi="Arial" w:cs="Arial"/>
          <w:b/>
          <w:bCs/>
          <w:color w:val="000000"/>
          <w:sz w:val="30"/>
          <w:szCs w:val="32"/>
        </w:rPr>
        <w:br/>
        <w:t xml:space="preserve">All Course offerings held in Asheville, NC: </w:t>
      </w:r>
    </w:p>
    <w:tbl>
      <w:tblPr>
        <w:tblStyle w:val="TableGridLight"/>
        <w:tblW w:w="10876" w:type="dxa"/>
        <w:tblLook w:val="04A0" w:firstRow="1" w:lastRow="0" w:firstColumn="1" w:lastColumn="0" w:noHBand="0" w:noVBand="1"/>
      </w:tblPr>
      <w:tblGrid>
        <w:gridCol w:w="7012"/>
        <w:gridCol w:w="3864"/>
      </w:tblGrid>
      <w:tr w:rsidR="008C5A27" w:rsidRPr="00A66F4A" w:rsidTr="008C5A27">
        <w:trPr>
          <w:trHeight w:val="673"/>
        </w:trPr>
        <w:tc>
          <w:tcPr>
            <w:tcW w:w="0" w:type="auto"/>
            <w:vAlign w:val="center"/>
            <w:hideMark/>
          </w:tcPr>
          <w:p w:rsidR="00A66F4A" w:rsidRPr="00A66F4A" w:rsidRDefault="00A66F4A" w:rsidP="008C5A27">
            <w:pPr>
              <w:rPr>
                <w:rFonts w:ascii="Arial" w:eastAsia="Times New Roman" w:hAnsi="Arial" w:cs="Arial"/>
                <w:color w:val="000000"/>
                <w:szCs w:val="24"/>
              </w:rPr>
            </w:pPr>
            <w:r w:rsidRPr="00A66F4A">
              <w:rPr>
                <w:rFonts w:ascii="Arial" w:eastAsia="Times New Roman" w:hAnsi="Arial" w:cs="Arial"/>
                <w:color w:val="000000"/>
                <w:szCs w:val="24"/>
              </w:rPr>
              <w:t>ICS-300 – Intermediate Incident Command for Expanding Incidents</w:t>
            </w:r>
          </w:p>
        </w:tc>
        <w:tc>
          <w:tcPr>
            <w:tcW w:w="0" w:type="auto"/>
            <w:vAlign w:val="center"/>
            <w:hideMark/>
          </w:tcPr>
          <w:p w:rsidR="00A66F4A" w:rsidRPr="00A66F4A" w:rsidRDefault="00762D10" w:rsidP="008C5A27">
            <w:pPr>
              <w:rPr>
                <w:rFonts w:ascii="Arial" w:eastAsia="Times New Roman" w:hAnsi="Arial" w:cs="Arial"/>
                <w:color w:val="000000"/>
                <w:szCs w:val="24"/>
              </w:rPr>
            </w:pPr>
            <w:r>
              <w:rPr>
                <w:rFonts w:ascii="Arial" w:eastAsia="Times New Roman" w:hAnsi="Arial" w:cs="Arial"/>
                <w:color w:val="000000"/>
              </w:rPr>
              <w:t xml:space="preserve">• Feb. 7 – Feb. </w:t>
            </w:r>
            <w:r w:rsidR="00A66F4A" w:rsidRPr="008C5A27">
              <w:rPr>
                <w:rFonts w:ascii="Arial" w:eastAsia="Times New Roman" w:hAnsi="Arial" w:cs="Arial"/>
                <w:color w:val="000000"/>
              </w:rPr>
              <w:t>10 | 0900 – 1600</w:t>
            </w:r>
            <w:r w:rsidR="00A66F4A" w:rsidRPr="008C5A27">
              <w:rPr>
                <w:rFonts w:ascii="Arial" w:eastAsia="Times New Roman" w:hAnsi="Arial" w:cs="Arial"/>
                <w:color w:val="000000"/>
              </w:rPr>
              <w:br/>
            </w:r>
            <w:r w:rsidR="00A66F4A" w:rsidRPr="00A66F4A">
              <w:rPr>
                <w:rFonts w:ascii="Arial" w:eastAsia="Times New Roman" w:hAnsi="Arial" w:cs="Arial"/>
                <w:color w:val="000000"/>
                <w:szCs w:val="24"/>
              </w:rPr>
              <w:t>• Feb. 20 – Feb. 23 | 0900 – 1600</w:t>
            </w:r>
          </w:p>
        </w:tc>
      </w:tr>
      <w:tr w:rsidR="008C5A27" w:rsidRPr="00A66F4A" w:rsidTr="00762D10">
        <w:trPr>
          <w:trHeight w:val="422"/>
        </w:trPr>
        <w:tc>
          <w:tcPr>
            <w:tcW w:w="0" w:type="auto"/>
            <w:vAlign w:val="center"/>
            <w:hideMark/>
          </w:tcPr>
          <w:p w:rsidR="00A66F4A" w:rsidRPr="00A66F4A" w:rsidRDefault="00A66F4A" w:rsidP="008C5A27">
            <w:pPr>
              <w:rPr>
                <w:rFonts w:ascii="Arial" w:eastAsia="Times New Roman" w:hAnsi="Arial" w:cs="Arial"/>
                <w:color w:val="000000"/>
                <w:szCs w:val="24"/>
              </w:rPr>
            </w:pPr>
            <w:r w:rsidRPr="00A66F4A">
              <w:rPr>
                <w:rFonts w:ascii="Arial" w:eastAsia="Times New Roman" w:hAnsi="Arial" w:cs="Arial"/>
                <w:color w:val="000000"/>
                <w:szCs w:val="24"/>
              </w:rPr>
              <w:t>L-105 – Public Information and Warning</w:t>
            </w:r>
          </w:p>
        </w:tc>
        <w:tc>
          <w:tcPr>
            <w:tcW w:w="0" w:type="auto"/>
            <w:vAlign w:val="center"/>
            <w:hideMark/>
          </w:tcPr>
          <w:p w:rsidR="00A66F4A" w:rsidRPr="00A66F4A" w:rsidRDefault="00762D10" w:rsidP="008C5A27">
            <w:pPr>
              <w:rPr>
                <w:rFonts w:ascii="Arial" w:eastAsia="Times New Roman" w:hAnsi="Arial" w:cs="Arial"/>
                <w:color w:val="000000"/>
                <w:szCs w:val="24"/>
              </w:rPr>
            </w:pPr>
            <w:r>
              <w:rPr>
                <w:rFonts w:ascii="Arial" w:eastAsia="Times New Roman" w:hAnsi="Arial" w:cs="Arial"/>
                <w:color w:val="000000"/>
                <w:szCs w:val="24"/>
              </w:rPr>
              <w:t>• Mar. 1 – 3 | 0800 - 17</w:t>
            </w:r>
            <w:r w:rsidR="00A66F4A" w:rsidRPr="00A66F4A">
              <w:rPr>
                <w:rFonts w:ascii="Arial" w:eastAsia="Times New Roman" w:hAnsi="Arial" w:cs="Arial"/>
                <w:color w:val="000000"/>
                <w:szCs w:val="24"/>
              </w:rPr>
              <w:t>00</w:t>
            </w:r>
          </w:p>
        </w:tc>
      </w:tr>
      <w:tr w:rsidR="008C5A27" w:rsidRPr="00A66F4A" w:rsidTr="00762D10">
        <w:trPr>
          <w:trHeight w:val="458"/>
        </w:trPr>
        <w:tc>
          <w:tcPr>
            <w:tcW w:w="0" w:type="auto"/>
            <w:vAlign w:val="center"/>
            <w:hideMark/>
          </w:tcPr>
          <w:p w:rsidR="00A66F4A" w:rsidRPr="00A66F4A" w:rsidRDefault="00A66F4A" w:rsidP="008C5A27">
            <w:pPr>
              <w:rPr>
                <w:rFonts w:ascii="Arial" w:eastAsia="Times New Roman" w:hAnsi="Arial" w:cs="Arial"/>
                <w:color w:val="000000"/>
                <w:szCs w:val="24"/>
              </w:rPr>
            </w:pPr>
            <w:r w:rsidRPr="00A66F4A">
              <w:rPr>
                <w:rFonts w:ascii="Arial" w:eastAsia="Times New Roman" w:hAnsi="Arial" w:cs="Arial"/>
                <w:color w:val="000000"/>
                <w:szCs w:val="24"/>
              </w:rPr>
              <w:t>ICS-400 – Advanced Incident Command for Complex Incidents</w:t>
            </w:r>
          </w:p>
        </w:tc>
        <w:tc>
          <w:tcPr>
            <w:tcW w:w="0" w:type="auto"/>
            <w:vAlign w:val="center"/>
            <w:hideMark/>
          </w:tcPr>
          <w:p w:rsidR="00A66F4A" w:rsidRPr="00A66F4A" w:rsidRDefault="00762D10" w:rsidP="008C5A27">
            <w:pPr>
              <w:rPr>
                <w:rFonts w:ascii="Arial" w:eastAsia="Times New Roman" w:hAnsi="Arial" w:cs="Arial"/>
                <w:color w:val="000000"/>
                <w:szCs w:val="24"/>
              </w:rPr>
            </w:pPr>
            <w:r>
              <w:rPr>
                <w:rFonts w:ascii="Arial" w:eastAsia="Times New Roman" w:hAnsi="Arial" w:cs="Arial"/>
                <w:color w:val="000000"/>
                <w:szCs w:val="24"/>
              </w:rPr>
              <w:t>• Mar. 9 – 10 | 0800 – 16</w:t>
            </w:r>
            <w:r w:rsidR="00A66F4A" w:rsidRPr="00A66F4A">
              <w:rPr>
                <w:rFonts w:ascii="Arial" w:eastAsia="Times New Roman" w:hAnsi="Arial" w:cs="Arial"/>
                <w:color w:val="000000"/>
                <w:szCs w:val="24"/>
              </w:rPr>
              <w:t>00</w:t>
            </w:r>
          </w:p>
        </w:tc>
      </w:tr>
      <w:tr w:rsidR="008C5A27" w:rsidRPr="00A66F4A" w:rsidTr="008C5A27">
        <w:trPr>
          <w:trHeight w:val="648"/>
        </w:trPr>
        <w:tc>
          <w:tcPr>
            <w:tcW w:w="0" w:type="auto"/>
            <w:vAlign w:val="center"/>
            <w:hideMark/>
          </w:tcPr>
          <w:p w:rsidR="00A66F4A" w:rsidRPr="00A66F4A" w:rsidRDefault="00A66F4A" w:rsidP="008C5A27">
            <w:pPr>
              <w:rPr>
                <w:rFonts w:ascii="Arial" w:eastAsia="Times New Roman" w:hAnsi="Arial" w:cs="Arial"/>
                <w:color w:val="000000"/>
                <w:szCs w:val="24"/>
              </w:rPr>
            </w:pPr>
            <w:r w:rsidRPr="00A66F4A">
              <w:rPr>
                <w:rFonts w:ascii="Arial" w:eastAsia="Times New Roman" w:hAnsi="Arial" w:cs="Arial"/>
                <w:color w:val="000000"/>
                <w:szCs w:val="24"/>
              </w:rPr>
              <w:t>NC-IMT – North Carolina Local Incident Management Team (IMT)</w:t>
            </w:r>
          </w:p>
        </w:tc>
        <w:tc>
          <w:tcPr>
            <w:tcW w:w="0" w:type="auto"/>
            <w:vAlign w:val="center"/>
            <w:hideMark/>
          </w:tcPr>
          <w:p w:rsidR="00A66F4A" w:rsidRPr="008C5A27" w:rsidRDefault="00A66F4A" w:rsidP="008C5A27">
            <w:pPr>
              <w:rPr>
                <w:rFonts w:ascii="Tahoma" w:eastAsia="Times New Roman" w:hAnsi="Tahoma" w:cs="Tahoma"/>
                <w:color w:val="000000"/>
                <w:szCs w:val="24"/>
              </w:rPr>
            </w:pPr>
            <w:r w:rsidRPr="00A66F4A">
              <w:rPr>
                <w:rFonts w:ascii="Arial" w:eastAsia="Times New Roman" w:hAnsi="Arial" w:cs="Arial"/>
                <w:color w:val="000000"/>
                <w:szCs w:val="24"/>
              </w:rPr>
              <w:t>• Mar. 23 – 24 | 0800 – 1700</w:t>
            </w:r>
            <w:r w:rsidRPr="008C5A27">
              <w:rPr>
                <w:rFonts w:ascii="Tahoma" w:eastAsia="Times New Roman" w:hAnsi="Tahoma" w:cs="Tahoma"/>
                <w:color w:val="000000"/>
              </w:rPr>
              <w:br/>
            </w:r>
            <w:r w:rsidRPr="00A66F4A">
              <w:rPr>
                <w:rFonts w:ascii="Arial" w:eastAsia="Times New Roman" w:hAnsi="Arial" w:cs="Arial"/>
                <w:color w:val="000000"/>
                <w:szCs w:val="24"/>
              </w:rPr>
              <w:t>•</w:t>
            </w:r>
            <w:r w:rsidRPr="008C5A27">
              <w:rPr>
                <w:rFonts w:ascii="Arial" w:eastAsia="Times New Roman" w:hAnsi="Arial" w:cs="Arial"/>
                <w:color w:val="000000"/>
              </w:rPr>
              <w:t xml:space="preserve"> </w:t>
            </w:r>
            <w:r w:rsidRPr="008C5A27">
              <w:rPr>
                <w:rFonts w:ascii="Arial" w:eastAsia="Times New Roman" w:hAnsi="Arial" w:cs="Arial"/>
                <w:color w:val="000000"/>
                <w:szCs w:val="24"/>
              </w:rPr>
              <w:t>Apr. 27 – 28 | 0800 – 1700</w:t>
            </w:r>
          </w:p>
        </w:tc>
      </w:tr>
      <w:tr w:rsidR="008C5A27" w:rsidRPr="00A66F4A" w:rsidTr="00762D10">
        <w:trPr>
          <w:trHeight w:val="458"/>
        </w:trPr>
        <w:tc>
          <w:tcPr>
            <w:tcW w:w="0" w:type="auto"/>
            <w:vAlign w:val="center"/>
            <w:hideMark/>
          </w:tcPr>
          <w:p w:rsidR="00A66F4A" w:rsidRPr="00A66F4A" w:rsidRDefault="00A66F4A" w:rsidP="008C5A27">
            <w:pPr>
              <w:rPr>
                <w:rFonts w:ascii="Arial" w:eastAsia="Times New Roman" w:hAnsi="Arial" w:cs="Arial"/>
                <w:color w:val="000000"/>
                <w:szCs w:val="24"/>
              </w:rPr>
            </w:pPr>
            <w:r w:rsidRPr="00A66F4A">
              <w:rPr>
                <w:rFonts w:ascii="Arial" w:eastAsia="Times New Roman" w:hAnsi="Arial" w:cs="Arial"/>
                <w:color w:val="000000"/>
                <w:szCs w:val="24"/>
              </w:rPr>
              <w:t>Regional Public Health Emergency Tabletop Exercise (TTX)</w:t>
            </w:r>
          </w:p>
        </w:tc>
        <w:tc>
          <w:tcPr>
            <w:tcW w:w="0" w:type="auto"/>
            <w:vAlign w:val="center"/>
            <w:hideMark/>
          </w:tcPr>
          <w:p w:rsidR="00A66F4A" w:rsidRPr="00A66F4A" w:rsidRDefault="00A66F4A" w:rsidP="008C5A27">
            <w:pPr>
              <w:rPr>
                <w:rFonts w:ascii="Arial" w:eastAsia="Times New Roman" w:hAnsi="Arial" w:cs="Arial"/>
                <w:color w:val="000000"/>
                <w:szCs w:val="24"/>
              </w:rPr>
            </w:pPr>
            <w:r w:rsidRPr="00A66F4A">
              <w:rPr>
                <w:rFonts w:ascii="Arial" w:eastAsia="Times New Roman" w:hAnsi="Arial" w:cs="Arial"/>
                <w:color w:val="000000"/>
                <w:szCs w:val="24"/>
              </w:rPr>
              <w:t>• May 5 | 4- hour TTX – Time TBD</w:t>
            </w:r>
          </w:p>
        </w:tc>
      </w:tr>
      <w:tr w:rsidR="008C5A27" w:rsidRPr="00A66F4A" w:rsidTr="00762D10">
        <w:trPr>
          <w:trHeight w:val="440"/>
        </w:trPr>
        <w:tc>
          <w:tcPr>
            <w:tcW w:w="0" w:type="auto"/>
            <w:vAlign w:val="center"/>
            <w:hideMark/>
          </w:tcPr>
          <w:p w:rsidR="00A66F4A" w:rsidRPr="00A66F4A" w:rsidRDefault="00A66F4A" w:rsidP="008C5A27">
            <w:pPr>
              <w:rPr>
                <w:rFonts w:ascii="Arial" w:eastAsia="Times New Roman" w:hAnsi="Arial" w:cs="Arial"/>
                <w:color w:val="000000"/>
                <w:szCs w:val="24"/>
              </w:rPr>
            </w:pPr>
            <w:r w:rsidRPr="00A66F4A">
              <w:rPr>
                <w:rFonts w:ascii="Arial" w:eastAsia="Times New Roman" w:hAnsi="Arial" w:cs="Arial"/>
                <w:color w:val="000000"/>
                <w:szCs w:val="24"/>
              </w:rPr>
              <w:t>All Hazards Regional IMT Functional Exercise (FEX)</w:t>
            </w:r>
          </w:p>
        </w:tc>
        <w:tc>
          <w:tcPr>
            <w:tcW w:w="0" w:type="auto"/>
            <w:vAlign w:val="center"/>
            <w:hideMark/>
          </w:tcPr>
          <w:p w:rsidR="00A66F4A" w:rsidRPr="00A66F4A" w:rsidRDefault="00A66F4A" w:rsidP="008C5A27">
            <w:pPr>
              <w:rPr>
                <w:rFonts w:ascii="Arial" w:eastAsia="Times New Roman" w:hAnsi="Arial" w:cs="Arial"/>
                <w:color w:val="000000"/>
                <w:szCs w:val="24"/>
              </w:rPr>
            </w:pPr>
            <w:r w:rsidRPr="00A66F4A">
              <w:rPr>
                <w:rFonts w:ascii="Arial" w:eastAsia="Times New Roman" w:hAnsi="Arial" w:cs="Arial"/>
                <w:color w:val="000000"/>
                <w:szCs w:val="24"/>
              </w:rPr>
              <w:t>• May 24 | 8-hour FEX – Times TBD</w:t>
            </w:r>
          </w:p>
        </w:tc>
      </w:tr>
    </w:tbl>
    <w:p w:rsidR="00A66F4A" w:rsidRPr="00A66F4A" w:rsidRDefault="00A66F4A" w:rsidP="001A41BE">
      <w:pPr>
        <w:spacing w:before="100" w:beforeAutospacing="1" w:after="100" w:afterAutospacing="1" w:line="240" w:lineRule="auto"/>
        <w:rPr>
          <w:rFonts w:ascii="Arial" w:eastAsia="Times New Roman" w:hAnsi="Arial" w:cs="Arial"/>
        </w:rPr>
      </w:pPr>
      <w:r w:rsidRPr="001A41BE">
        <w:rPr>
          <w:rFonts w:ascii="Arial" w:eastAsia="Times New Roman" w:hAnsi="Arial" w:cs="Arial"/>
          <w:b/>
          <w:bCs/>
          <w:color w:val="000000"/>
        </w:rPr>
        <w:t xml:space="preserve">Notes: </w:t>
      </w:r>
      <w:r w:rsidRPr="00A66F4A">
        <w:rPr>
          <w:rFonts w:ascii="Arial" w:eastAsia="Times New Roman" w:hAnsi="Arial" w:cs="Arial"/>
          <w:color w:val="000000"/>
        </w:rPr>
        <w:t xml:space="preserve">Priority registration </w:t>
      </w:r>
      <w:proofErr w:type="gramStart"/>
      <w:r w:rsidRPr="00A66F4A">
        <w:rPr>
          <w:rFonts w:ascii="Arial" w:eastAsia="Times New Roman" w:hAnsi="Arial" w:cs="Arial"/>
          <w:color w:val="000000"/>
        </w:rPr>
        <w:t>will be given</w:t>
      </w:r>
      <w:proofErr w:type="gramEnd"/>
      <w:r w:rsidRPr="00A66F4A">
        <w:rPr>
          <w:rFonts w:ascii="Arial" w:eastAsia="Times New Roman" w:hAnsi="Arial" w:cs="Arial"/>
          <w:color w:val="000000"/>
        </w:rPr>
        <w:t xml:space="preserve"> to NCALHD Region 2, Public Health staff, all others will be waitlisted.  Emergency Services (EM-Fire-Law) partners within Region 2 are encouraged to participate but will be waitlisted and approved according to space available. Public Health personnel and Local Public Health Preparedness affiliates outside of Region 2 may sign up, but will be waitlisted and approved according to space available.</w:t>
      </w:r>
    </w:p>
    <w:p w:rsidR="00746755" w:rsidRPr="008C5A27" w:rsidRDefault="00A66F4A" w:rsidP="001A41BE">
      <w:pPr>
        <w:spacing w:before="100" w:beforeAutospacing="1" w:after="100" w:afterAutospacing="1" w:line="240" w:lineRule="auto"/>
        <w:rPr>
          <w:sz w:val="20"/>
          <w:szCs w:val="20"/>
        </w:rPr>
      </w:pPr>
      <w:r w:rsidRPr="00A66F4A">
        <w:rPr>
          <w:rFonts w:ascii="Arial" w:eastAsia="Times New Roman" w:hAnsi="Arial" w:cs="Arial"/>
          <w:b/>
          <w:bCs/>
          <w:color w:val="000000"/>
          <w:szCs w:val="24"/>
        </w:rPr>
        <w:t>Point of Contact</w:t>
      </w:r>
      <w:r w:rsidRPr="00A66F4A">
        <w:rPr>
          <w:rFonts w:ascii="Arial" w:eastAsia="Times New Roman" w:hAnsi="Arial" w:cs="Arial"/>
          <w:color w:val="000000"/>
          <w:szCs w:val="24"/>
        </w:rPr>
        <w:t>: Nathan Greene- nathan.greene@buncombecounty.org | (828) 424-1022</w:t>
      </w:r>
    </w:p>
    <w:sectPr w:rsidR="00746755" w:rsidRPr="008C5A27" w:rsidSect="00A66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55145"/>
    <w:multiLevelType w:val="multilevel"/>
    <w:tmpl w:val="FA64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C327E"/>
    <w:multiLevelType w:val="hybridMultilevel"/>
    <w:tmpl w:val="A62A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C1009"/>
    <w:multiLevelType w:val="multilevel"/>
    <w:tmpl w:val="9DFA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4A"/>
    <w:rsid w:val="001A41BE"/>
    <w:rsid w:val="007079D9"/>
    <w:rsid w:val="00746755"/>
    <w:rsid w:val="00762D10"/>
    <w:rsid w:val="008C5A27"/>
    <w:rsid w:val="00A44D9E"/>
    <w:rsid w:val="00A66F4A"/>
    <w:rsid w:val="00F4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5C21"/>
  <w15:chartTrackingRefBased/>
  <w15:docId w15:val="{1BEB71A9-CA0F-4FE1-A8A1-8A912424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6F4A"/>
    <w:rPr>
      <w:color w:val="0563C1" w:themeColor="hyperlink"/>
      <w:u w:val="single"/>
    </w:rPr>
  </w:style>
  <w:style w:type="paragraph" w:styleId="ListParagraph">
    <w:name w:val="List Paragraph"/>
    <w:basedOn w:val="Normal"/>
    <w:uiPriority w:val="34"/>
    <w:qFormat/>
    <w:rsid w:val="00A66F4A"/>
    <w:pPr>
      <w:ind w:left="720"/>
      <w:contextualSpacing/>
    </w:pPr>
  </w:style>
  <w:style w:type="table" w:styleId="PlainTable5">
    <w:name w:val="Plain Table 5"/>
    <w:basedOn w:val="TableNormal"/>
    <w:uiPriority w:val="45"/>
    <w:rsid w:val="008C5A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8C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5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5578">
      <w:bodyDiv w:val="1"/>
      <w:marLeft w:val="0"/>
      <w:marRight w:val="0"/>
      <w:marTop w:val="0"/>
      <w:marBottom w:val="0"/>
      <w:divBdr>
        <w:top w:val="none" w:sz="0" w:space="0" w:color="auto"/>
        <w:left w:val="none" w:sz="0" w:space="0" w:color="auto"/>
        <w:bottom w:val="none" w:sz="0" w:space="0" w:color="auto"/>
        <w:right w:val="none" w:sz="0" w:space="0" w:color="auto"/>
      </w:divBdr>
      <w:divsChild>
        <w:div w:id="104648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Wood</dc:creator>
  <cp:keywords/>
  <dc:description/>
  <cp:lastModifiedBy>Stacey Wood</cp:lastModifiedBy>
  <cp:revision>3</cp:revision>
  <dcterms:created xsi:type="dcterms:W3CDTF">2022-12-20T21:49:00Z</dcterms:created>
  <dcterms:modified xsi:type="dcterms:W3CDTF">2022-12-20T22:01:00Z</dcterms:modified>
</cp:coreProperties>
</file>